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87"/>
        <w:pBdr/>
        <w:spacing w:after="0" w:before="0" w:line="360" w:lineRule="auto"/>
        <w:ind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Г.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>
        <w:rPr>
          <w:rFonts w:ascii="Times New Roman" w:hAnsi="Times New Roman" w:eastAsia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Обеспечение отказоустойчивости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) (вариант)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highlight w:val="none"/>
          <w:shd w:val="clear" w:color="auto" w:fill="auto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shd w:val="clear" w:color="auto" w:fill="auto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bCs/>
          <w:sz w:val="28"/>
          <w:szCs w:val="28"/>
          <w:shd w:val="clear" w:color="auto" w:fill="auto"/>
        </w:rPr>
        <w:t xml:space="preserve"> 3</w:t>
      </w:r>
      <w:r>
        <w:rPr>
          <w:rFonts w:ascii="Times New Roman" w:hAnsi="Times New Roman" w:eastAsia="Times New Roman" w:cs="Times New Roman"/>
          <w:bCs/>
          <w:i/>
          <w:sz w:val="28"/>
          <w:szCs w:val="28"/>
          <w:shd w:val="clear" w:color="auto" w:fill="auto"/>
        </w:rPr>
        <w:t xml:space="preserve"> часа</w:t>
      </w:r>
      <w:r>
        <w:rPr>
          <w:rFonts w:ascii="Times New Roman" w:hAnsi="Times New Roman" w:eastAsia="Times New Roman" w:cs="Times New Roman"/>
          <w:highlight w:val="none"/>
          <w:shd w:val="clear" w:color="auto" w:fill="auto"/>
        </w:rPr>
      </w:r>
      <w:r>
        <w:rPr>
          <w:rFonts w:ascii="Times New Roman" w:hAnsi="Times New Roman" w:eastAsia="Times New Roman" w:cs="Times New Roman"/>
          <w:highlight w:val="none"/>
          <w:shd w:val="clear" w:color="auto" w:fill="auto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Задания: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1) Подготовка машины Cloud-ADM.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1. Создайте виртуальный инстанс с именем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 и подключите его к необходимым сетям (см. Топология L-3), а также ассоциируйте с ним плавающий IP-адрес.</w:t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2.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 Установите следующие параметры для создаваемого инстанса:</w:t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ab/>
        <w:t xml:space="preserve">i. Тип виртуальной машины: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2 vCPU, 4 ГБ RAM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ab/>
        <w:t xml:space="preserve">ii. Размер диска: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30 ГБ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3. В качестве операционной системы используйте Альт Рабочая станция (адаптированную под работу в облаке), шаблон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alt-workstation-10.4-p10-cloud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4. Настройте инстанс для разрешения внешних подключений по протоколу SSH и RDP.</w:t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5. Настройте внешнее подключение по SSH сохранив ключевую пару для доступа с вашего локального ПК на рабочем столе с расширением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.pem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ab/>
        <w:t xml:space="preserve">i. Создайте в PuTTY профиль с именем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ab/>
        <w:t xml:space="preserve">ii. Реализуйте возможность установления соединения с инстансом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 с локального ПК через PuTTY, без необходимости ввода дополнительных параметров;</w:t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ab/>
        <w:t xml:space="preserve">iii. Для подключения используйте имя пользователя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altlinux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 и ранее сохранённую ключевую пару.</w:t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6. Настройте внешнее подключение по RDP сохранив на рабочем столе профиль с именем 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ab/>
        <w:t xml:space="preserve">i. Для подключения используйте имя пользователя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altlinux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 и пароль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P@ssw0rd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highlight w:val="white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2) Развёртывание облачной инфраструктуры.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1. Подготовьте сценарий автоматизации развёртывания облачной инфраструктуры: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a) Создайте все необходимые инстансы: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ab/>
        <w:t xml:space="preserve">i. Cloud-HA01, Cloud-HA02: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1vCPU, 512 МБ ОЗУ, 10 ГБ размер диска;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ab/>
        <w:t xml:space="preserve">ii. Cloud-DB01, Cloud-DB02 , Cloud-WEB01, Cloud-WEB02: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1vCPU, 1 ГБ ОЗУ, 10 ГБ размер диска;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ab/>
        <w:t xml:space="preserve">iii. В качестве операционной системы используйте Альт Starterkit (оптимизированная сборка под облака), шаблон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alt-p10-cloud-x86_64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 (размер: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385 МиБ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).</w:t>
      </w:r>
      <w:r>
        <w:rPr>
          <w:rFonts w:ascii="Times New Roman" w:hAnsi="Times New Roman" w:eastAsia="Times New Roman" w:cs="Times New Roman"/>
          <w:b w:val="0"/>
        </w:rPr>
      </w:r>
      <w:r>
        <w:rPr>
          <w:rFonts w:ascii="Times New Roman" w:hAnsi="Times New Roman" w:eastAsia="Times New Roman" w:cs="Times New Roman"/>
          <w:b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b) Создайте все необходимые виртуальные сети: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 w:firstLine="0"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ab/>
        <w:tab/>
        <w:t xml:space="preserve">i. Обеспечьте правильное подключение создаваемых инстансов к соответствующим виртуальным сетям в рамках заданной топологии (см. Топология L-3).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с) Реализуйте безопасный доступ: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Bdr/>
        <w:spacing w:after="0" w:before="0"/>
        <w:ind/>
        <w:contextualSpacing w:val="true"/>
        <w:rPr>
          <w:rFonts w:ascii="Times New Roman" w:hAnsi="Times New Roman" w:eastAsia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ab/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i. Доступ ко всем инстансам должен быть реализован по протоколу SSH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 т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олько с виртуальной машины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</w:rPr>
        <w:t xml:space="preserve">на основе открытых ключей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;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Bdr/>
        <w:spacing w:after="0" w:before="0"/>
        <w:ind/>
        <w:contextualSpacing w:val="true"/>
        <w:rPr>
          <w:rFonts w:ascii="Times New Roman" w:hAnsi="Times New Roman" w:eastAsia="Times New Roman" w:cs="Times New Roman"/>
          <w:b w:val="0"/>
          <w:b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  <w:t xml:space="preserve">     d) Создайте балансировщик нагрузки и распределите трафик между инстансами 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Cloud-HA01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 и 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Cloud-HA02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ab/>
        <w:t xml:space="preserve">i. Ограничьте внешний доступ к балансировщику только протоколами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HTTP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HTTPS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2. Имена инстансов, виртуальных сетей, и балансировщика нагрузки должны соответствовать именованиям, указанным в Топологии (см. Топология L-3).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3. Реализация скрипта автоматизации: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 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a) На виртуальной машине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 Cloud-ADM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создайте скрипт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deploy-cloudinfra.sh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ab/>
        <w:t xml:space="preserve">i. В качестве рабочей директории используйте путь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/home/altlinux/bin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ab/>
        <w:t xml:space="preserve">ii. Скрипт должен использовать файл конфигурации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/home/altlinux/bin/cloudinit.conf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для настройки подключения к облачному провайдеру;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ab/>
        <w:t xml:space="preserve">iii. В файле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cloudinit.conf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допускается использование комментариев, поясняющих назначение параметров;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ab/>
        <w:t xml:space="preserve">iv. При проверке задания, эксперты могут изменить настройки только в файле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cloudinit.conf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. Другие файлы редактироваться не будут.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b) Скрипт должен быть разработан таким образом, чтобы его можно было выполнять из любой директории без необходимости указания полного пути к исполняемому файлу.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c) Для выполнения задания используйте инструменты для автоматизации развёртывания инфраструктуры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Terraform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или (и)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OpenStack CLI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Cs w:val="28"/>
        </w:rPr>
        <w:t xml:space="preserve">3) Настройка облачной инфраструктуры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1. Подготовьте сценарий автоматизации настройки облачной инфраструктуры: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 w:firstLine="0"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  a) Реализуйте следующий функционал на инстансах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Cloud-HA01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Cloud-HA02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i. Установить и настроить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HAProxy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1. Настроить frontend для прослушивания портов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80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(HTTP) 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443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(HTTPS);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2. Настроить backend с балансировкой между веб-серверами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Cloud-WEB01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Cloud-WEB02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с использованием сети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Internal-Net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3. Использовать алгоритм балансировки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round-robin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4. При обращении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на IP-адреса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Cloud-HA01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Cloud-HA02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из сети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Management-Net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с инстанса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, как на порт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80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так и на порт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443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, должно выводиться содержимое веб-приложения развёрнутого на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Cloud-WEB01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Cloud-WEB2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, в случае обращения на порт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443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у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не должно возникать никаких проблем с сертификатами (не допускается использование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«Добавления исключений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»).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ii. Установить и настроить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Keepalived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1. Режим работы: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Active-Backup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2.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Cloud-HA01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: Активный узел (приоритет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100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);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3.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Cloud-HA02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: Резервный узел (приоритет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90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);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4. Настроить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виртуальный IP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(VIP) для отказоустойчивости, используйте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первый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не занятый IP-адрес из подсети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Internal-Net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5. Настроить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аутентификацию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между узлами с использованием общего секретного ключа 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(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</w:rPr>
        <w:t xml:space="preserve">в текущей вариации задания VIP — должен просто быть, и корректно перемещаться между Активным и Резервным узлом, использовать VIP — для настройки какого-либо иного функционала не требуется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)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b) Реализуйте следующий функционал на инстансах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Cloud-WEB01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Cloud-WEB02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i. Установить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Apache2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ii. Настроить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веб-сервер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для обслуживания веб-приложения, обеспечить поддержку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PHP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iii. Настроить взаимодействие с базой данных;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iv. Код простого (тестового) веб приложения и подключения к базе данных расположен в Приложении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(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</w:rPr>
        <w:t xml:space="preserve">допускается вносить изменения в исходных код приложения — исключительно только в 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</w:rPr>
        <w:t xml:space="preserve">$hosts = ['Cloud-DB01', 'Cloud-DB02']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</w:rPr>
        <w:t xml:space="preserve"> для указания необходимых IP-адресов или доменных имён, в зависимости от способа реализации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)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v. В рамках подсети управления (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Management-Net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) при обращении в веб-браузере с инстанса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по доменным именам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cloud-web01.au.team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cloud-web02.au.team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должно отрабатывать веб-приложение.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</w:rPr>
        <w:tab/>
        <w:t xml:space="preserve">vi. Веб-приложение должно быть доступно как по </w:t>
      </w:r>
      <w:r>
        <w:rPr>
          <w:rFonts w:ascii="Times New Roman" w:hAnsi="Times New Roman" w:eastAsia="Times New Roman" w:cs="Times New Roman"/>
          <w:b/>
          <w:bCs/>
        </w:rPr>
        <w:t xml:space="preserve">HTTP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 так и по </w:t>
      </w:r>
      <w:r>
        <w:rPr>
          <w:rFonts w:ascii="Times New Roman" w:hAnsi="Times New Roman" w:eastAsia="Times New Roman" w:cs="Times New Roman"/>
          <w:b/>
          <w:bCs/>
        </w:rPr>
        <w:t xml:space="preserve">HTTPS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, в случае с </w:t>
      </w:r>
      <w:r>
        <w:rPr>
          <w:rFonts w:ascii="Times New Roman" w:hAnsi="Times New Roman" w:eastAsia="Times New Roman" w:cs="Times New Roman"/>
          <w:b/>
          <w:bCs/>
        </w:rPr>
        <w:t xml:space="preserve">HTTPS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 используйте самоподписанные сертификаты 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или иные другие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, но с инстанса </w:t>
      </w:r>
      <w:r>
        <w:rPr>
          <w:rFonts w:ascii="Times New Roman" w:hAnsi="Times New Roman" w:eastAsia="Times New Roman" w:cs="Times New Roman"/>
          <w:b/>
          <w:bCs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 должно быть корректное доверие сертификату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(не допускается использование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«Добавления исключений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»)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c) Реализуйте следующий функционал на инстансах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Cloud-DB01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Cloud-DB02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i. Установить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PostgreSQL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    1. Настроить репликацию между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Cloud-DB01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(Master) 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Cloud-DB02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(Replica);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      2. Обеспечить отказоустойчивость: в случае сбоя мастера, реплика должна автоматически становиться новым мастером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(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</w:rPr>
        <w:t xml:space="preserve">учтите, что приложение не вносит никаких данных в базу данных, а только получает их, запрещается изменять учётные данные: Имя БД, пользователя и его пароль — в исходном коде веб-приложения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)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ii. Создать тестовую базу данных и пользователя: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ab/>
        <w:t xml:space="preserve">1. Создать базу данных с именем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testdb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ab/>
        <w:t xml:space="preserve">2. Создать пользователя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testuser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с паролем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testpassword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;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ab/>
        <w:t xml:space="preserve">3. Назначить пользователю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testuser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права на доступ к базе данных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testdb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2. Реализация скрипта автоматизации: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 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a) На виртуальной машине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 Cloud-ADM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создайте скрипт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configure-cloudinfra.sh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ab/>
        <w:t xml:space="preserve">i. В качестве рабочей директории используйте путь </w:t>
      </w:r>
      <w:r>
        <w:rPr>
          <w:rFonts w:ascii="Times New Roman" w:hAnsi="Times New Roman" w:eastAsia="Times New Roman" w:cs="Times New Roman"/>
          <w:b/>
          <w:bCs/>
          <w:szCs w:val="28"/>
        </w:rPr>
        <w:t xml:space="preserve">/home/altlinux/bin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    </w:t>
      </w:r>
      <w:r>
        <w:rPr>
          <w:rFonts w:ascii="Times New Roman" w:hAnsi="Times New Roman" w:eastAsia="Times New Roman" w:cs="Times New Roman"/>
          <w:b w:val="0"/>
          <w:bCs w:val="0"/>
          <w:szCs w:val="28"/>
        </w:rPr>
        <w:t xml:space="preserve">b) Скрипт должен быть разработан таким образом, чтобы его можно было выполнять из любой директории без необходимости указания полного пути к исполняемому файлу.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/>
        <w:ind/>
        <w:contextualSpacing w:val="true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 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c) Для выполнения задания используйте инструменты автоматизации конфигурации инфраструктуры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Ansible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sz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sz w:val="28"/>
        </w:rPr>
        <w:t xml:space="preserve">4) Настройка мониторинга.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1. Создайте инстанс с именем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Cloud-MON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2. Установите следующие параметры для создаваемого инстанса: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ab/>
        <w:t xml:space="preserve">i. Тип виртуальной машины: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 vCPU, 1 ГБ RAM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ab/>
        <w:t xml:space="preserve">ii. Размер диска: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10 ГБ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iii.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В качестве операционной системы используйте Альт Starterkit (оптимизированная сборка под облака), шаблон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alt-p10-cloud-x86_64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(размер: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385 МиБ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).</w:t>
      </w:r>
      <w:r/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3. Организуйте доступ по SSH до инстанса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Cloud-MON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с инстанса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i. Подключение на основе ключевой пары;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ii. Возможность подключения по имени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cloud-mon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из под пользователя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altlinux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без указания дополнительных параметров.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4. Настройте мониторинг с помощью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NodeExporter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,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Prometheus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Grafana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в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Docker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i. Создайте в домашней директории пользователя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altlinux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файл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monitoring.yml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для Docker Compose;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ii. Используйте контейнеры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NodeExporter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,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Prometheus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Grafana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для сбора, обработки и отображения метрик;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iii. Настройте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Dashboard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в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Grafana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, в котором будет отображаться загрузка CPU, объём свободной оперативной памяти и места на диске.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iv. Интерфейс Grafana должен быть доступен по имени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 grafana.au.team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на порту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3000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с инстанса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Cloud-ADM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из под пользователя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admin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с паролем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P@ssw0rd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;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v. Добавьте инстансы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Cloud-ADM,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Cloud-BACKUP01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Cloud-BACKUP02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 в 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Dashboard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для мониторинга.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</w:r>
      <w:r>
        <w:rPr>
          <w:rFonts w:ascii="Times New Roman" w:hAnsi="Times New Roman" w:eastAsia="Times New Roman" w:cs="Times New Roman"/>
          <w:sz w:val="28"/>
        </w:rPr>
      </w:r>
      <w:r>
        <w:rPr>
          <w:rFonts w:ascii="Times New Roman" w:hAnsi="Times New Roman" w:eastAsia="Times New Roman" w:cs="Times New Roman"/>
          <w:sz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sz w:val="28"/>
        </w:rPr>
        <w:t xml:space="preserve">5) Настройка резервного копирования.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1. Создайте инстансы с именами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Cloud-BACKUP01 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и </w:t>
      </w:r>
      <w:r>
        <w:rPr>
          <w:rFonts w:ascii="Times New Roman" w:hAnsi="Times New Roman" w:eastAsia="Times New Roman" w:cs="Times New Roman"/>
          <w:b/>
          <w:bCs/>
          <w:sz w:val="28"/>
        </w:rPr>
        <w:t xml:space="preserve">Cloud-BACKUP02</w:t>
      </w:r>
      <w:r>
        <w:rPr>
          <w:rFonts w:ascii="Times New Roman" w:hAnsi="Times New Roman" w:eastAsia="Times New Roman" w:cs="Times New Roman"/>
          <w:b w:val="0"/>
          <w:bCs w:val="0"/>
          <w:sz w:val="28"/>
        </w:rPr>
        <w:t xml:space="preserve">.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2. Установите следующие параметры для создаваемых инстансов: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ab/>
        <w:t xml:space="preserve">i. Тип виртуальной машины: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 vCPU, 1 ГБ RAM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ab/>
        <w:t xml:space="preserve">ii. Размер диска: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10 ГБ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ab/>
        <w:t xml:space="preserve">iii. Дополнительный том: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5 ГБ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</w:rPr>
        <w:tab/>
        <w:t xml:space="preserve">iv.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В качестве операционной системы используйте Альт Starterkit (оптимизированная сборка под облака), шаблон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alt-p10-cloud-x86_64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(размер: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385 МиБ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).</w:t>
      </w:r>
      <w:r/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3. На инстансы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Cloud-ADM,  Cloud-BACKUP01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и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Cloud-BACKUP02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 установите Кибер Бекап 17 версии: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ab/>
        <w:t xml:space="preserve">i.  Сервер управления необходимо развернуть на инстансе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ab/>
        <w:t xml:space="preserve">ii. Настроить организацию (отдел)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AU_Team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ab/>
        <w:t xml:space="preserve">iii.  Настройте пользователя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au-admin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 с паролем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P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@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ssw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0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rd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  и правами администратора на сервере управления Кибер Бекап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  <w:t xml:space="preserve">;</w:t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ab/>
        <w:t xml:space="preserve">iv. В качестве узлов хранения используйте инстансы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Cloud-BACKUP01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и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Cloud-BACKUP02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4. Настройте устройства хранения на базе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Cloud-BACKUP01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и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Cloud-BACKUP02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ab/>
        <w:t xml:space="preserve">i. Подключите в качестве устройства хранения блочное устройство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sdb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 в формате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xfs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ab/>
        <w:t xml:space="preserve">ii. Устройство должно быть при монтировано в папку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/backups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ab/>
        <w:t xml:space="preserve">iii. Наименование хранилищ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BACKUP01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BACKUP02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 в зависимости от размещения на соответствующем инстансе.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w:t xml:space="preserve">5. Создайте план резервного копирования для инстанса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Cloud-ADM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, а именно для домашней директории пользователя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altlinux.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ab/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i. В качестве узла хранения используйте 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BACKUP01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ab/>
        <w:t xml:space="preserve">ii. Выполните резервное копирование для домашней директории пользователя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altlinux.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6. Создайте план репликации резервной копии домашней директории пользователя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altlinux.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i. В качестве узла хранения репликации используйте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  BACKUP02;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ii. Выполните репликацию созданной резервной копии.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  <w:lang w:val="en-US"/>
        </w:rPr>
        <w:t xml:space="preserve">6) 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000000"/>
          <w:spacing w:val="0"/>
          <w:sz w:val="28"/>
          <w:szCs w:val="28"/>
          <w:lang w:val="en-US"/>
        </w:rPr>
        <w:t xml:space="preserve">Завершение работы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897"/>
        <w:pBdr/>
        <w:spacing w:after="0" w:afterAutospacing="0" w:before="0" w:beforeAutospacing="0" w:line="360" w:lineRule="auto"/>
        <w: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1. По окончании рабочего времени освободите ресурсы облачного провайдера, использованные для автоматически созданных объектов.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897"/>
        <w:pBdr/>
        <w:spacing w:after="0" w:afterAutospacing="0" w:before="0" w:beforeAutospacing="0" w:line="360" w:lineRule="auto"/>
        <w: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2. Удалите все автоматически созданные виртуальные машины, сети, объекты и другие ресурсы.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897"/>
        <w:pBdr/>
        <w:spacing w:after="0" w:afterAutospacing="0" w:before="0" w:beforeAutospacing="0" w:line="360" w:lineRule="auto"/>
        <w: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</w:rPr>
        <w:t xml:space="preserve">3.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 Внимание: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НЕ удаляйте инстансы: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Cloud-ADM, Cloud-MON, Cloud-BACKUP01, Cloud-BACKUP02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а также ресурсы, необходимые для их функционирования: виртуальный маршрутизатор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Cloud-RTR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</w:rPr>
        <w:t xml:space="preserve">, виртуальные сети: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Backup-Net, Management-Net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</w:rPr>
        <w:t xml:space="preserve">, плавающий IP-адрес ассоциируемый с инстансом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 Cloud-ADM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897"/>
        <w:pBdr/>
        <w:spacing w:after="0" w:afterAutospacing="0" w:before="0" w:beforeAutospacing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Важно: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если в облачной инфраструктуре останутся объекты, кроме тех, которые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перечислены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или создаются по умолчанию, проверка выполнения задания не будет проводиться.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  <w:r>
        <w:rPr>
          <w:rFonts w:ascii="Times New Roman" w:hAnsi="Times New Roman" w:eastAsia="Times New Roman" w:cs="Times New Roman"/>
        </w:rPr>
        <w:br w:type="page" w:clear="all"/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  <w:t xml:space="preserve">Топология L-3:</w:t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i w:val="0"/>
          <w:caps w:val="0"/>
          <w:smallCaps w:val="0"/>
          <w:color w:val="243143"/>
          <w:spacing w:val="0"/>
          <w:sz w:val="28"/>
          <w:szCs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7001510"/>
                <wp:effectExtent l="0" t="0" r="0" b="0"/>
                <wp:wrapTopAndBottom/>
                <wp:docPr id="1" name="Изображение2" descr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2" descr="" titl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120130" cy="7001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3;o:allowoverlap:true;o:allowincell:false;mso-position-horizontal-relative:text;mso-position-horizontal:center;mso-position-vertical-relative:text;margin-top:0.05pt;mso-position-vertical:absolute;width:481.90pt;height:551.30pt;mso-wrap-distance-left:0.00pt;mso-wrap-distance-top:0.00pt;mso-wrap-distance-right:0.00pt;mso-wrap-distance-bottom:0.00pt;z-index:1;" stroked="false">
                <w10:wrap type="topAndBottom"/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  <w:r>
        <w:rPr>
          <w:rFonts w:ascii="Times New Roman" w:hAnsi="Times New Roman" w:eastAsia="Times New Roman" w:cs="Times New Roman"/>
        </w:rPr>
        <w:br w:type="page" w:clear="all"/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color w:val="243143"/>
          <w:spacing w:val="0"/>
          <w:sz w:val="28"/>
          <w:szCs w:val="28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sz w:val="28"/>
        </w:rPr>
        <w:t xml:space="preserve">Приложение: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tbl>
      <w:tblPr>
        <w:tblW w:w="5000" w:type="pct"/>
        <w:tblInd w:w="-5" w:type="dxa"/>
        <w:tblBorders/>
        <w:tblLayout w:type="fixed"/>
        <w:tblCellMar>
          <w:left w:w="55" w:type="dxa"/>
          <w:top w:w="55" w:type="dxa"/>
          <w:right w:w="55" w:type="dxa"/>
          <w:bottom w:w="55" w:type="dxa"/>
        </w:tblCellMar>
        <w:tblLook w:val="04A0" w:firstRow="1" w:lastRow="0" w:firstColumn="1" w:lastColumn="0" w:noHBand="0" w:noVBand="1"/>
      </w:tblPr>
      <w:tblGrid>
        <w:gridCol w:w="9638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8" w:type="dxa"/>
            <w:textDirection w:val="lrTb"/>
            <w:noWrap w:val="false"/>
          </w:tcPr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&lt;?php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// Заголовок HTML-страницы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echo "&lt;!DOCTYPE html&gt;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&lt;html lang='ru'&gt;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&lt;head&gt;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&lt;meta charset='UTF-8'&gt;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&lt;title&gt;Тестовое приложение&lt;/title&gt;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&lt;style&gt;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body { font-family: Arial, sans-serif; margin: 20px; }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.success { color: green; }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.error { color: red; }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.info { background-color: #f5f5f5; padding: 15px; border-radius: 5px; }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&lt;/style&gt;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&lt;/head&gt;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&lt;body&gt;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&lt;h1&gt;Тестовое веб-приложение&lt;/h1&gt;";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// Вывод имени веб-сервера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echo "&lt;div class='info'&gt;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&lt;h3&gt;Информация о сервере:&lt;/h3&gt;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&lt;p&gt;Веб-сервер: " . gethostname() . "&lt;/p&gt;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&lt;p&gt;Версия PHP: " . phpversion() . "&lt;/p&gt;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&lt;/div&gt;";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// Параметры подключения к базе данных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$hosts = ['Cloud-DB01', 'Cloud-DB02']; // Основной и резервный серверы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$port = '5432';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$dbname = 'testdb';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$user = 'testuser';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$password = 'testpassword';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// Попытка подключения к каждому серверу БД по очереди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$connected = false;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foreach ($hosts as $host) {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$conn_string = "host=$host port=$port dbname=$dbname user=$user password=$password";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$conn = pg_connect($conn_string);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if (!$conn) {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echo "&lt;div class='error'&gt;&lt;p&gt;Не удалось подключиться к серверу БД $host: " . pg_last_error() . "&lt;/p&gt;&lt;/div&gt;";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continue;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}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$connected = true;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echo "&lt;div class='success'&gt;&lt;p&gt;Успешное подключение к серверу БД: $host&lt;/p&gt;&lt;/div&gt;";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// Получение информации о сервере PostgreSQL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$result = pg_query($conn, "SELECT version(), current_user, current_database(), inet_server_addr(), inet_server_port()");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if (!$result) {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echo "&lt;div class='error'&gt;&lt;p&gt;Ошибка при выполнении запроса: " . pg_last_error($conn) . "&lt;/p&gt;&lt;/div&gt;";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} else {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$row = pg_fetch_assoc($result);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echo "&lt;div class='info'&gt;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&lt;h3&gt;Информация о PostgreSQL:&lt;/h3&gt;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&lt;p&gt;&lt;strong&gt;Версия:&lt;/strong&gt; " . htmlspecialchars($row['version']) . "&lt;/p&gt;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&lt;p&gt;&lt;strong&gt;Пользователь:&lt;/strong&gt; " . htmlspecialchars($row['current_user']) . "&lt;/p&gt;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&lt;p&gt;&lt;strong&gt;База данных:&lt;/strong&gt; " . htmlspecialchars($row['current_database']) . "&lt;/p&gt;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&lt;p&gt;&lt;strong&gt;Адрес сервера:&lt;/strong&gt; " . htmlspecialchars($row['inet_server_addr']) . "&lt;/p&gt;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&lt;p&gt;&lt;strong&gt;Порт сервера:&lt;/strong&gt; " . htmlspecialchars($row['inet_server_port']) . "&lt;/p&gt;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&lt;/div&gt;";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pg_free_result($result);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}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// Пример выполнения простого запроса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$result = pg_query($conn, "SELECT NOW() AS current_time");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if ($result) {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$row = pg_fetch_assoc($result);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echo "&lt;p&gt;&lt;strong&gt;Текущее время в БД:&lt;/strong&gt; " . htmlspecialchars($row['current_time']) . "&lt;/p&gt;";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pg_free_result($result);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}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// Закрытие соединения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pg_close($conn);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break; // Прерываем цикл после успешного подключения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}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if (!$connected) {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echo "&lt;div class='error'&gt;&lt;h3&gt;Критическая ошибка&lt;/h3&gt;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&lt;p&gt;Не удалось подключиться ни к одному из серверов базы данных.&lt;/p&gt;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&lt;p&gt;Пожалуйста, попробуйте позже или обратитесь к администратору.&lt;/p&gt;&lt;/div&gt;";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}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// Завершение HTML-страницы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echo "&lt;/body&gt;&lt;/html&gt;";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  <w:p>
            <w:pPr>
              <w:pStyle w:val="896"/>
              <w:pBdr/>
              <w:spacing/>
              <w:ind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color w:val="000000"/>
                <w:sz w:val="16"/>
                <w:szCs w:val="16"/>
                <w:u w:val="none"/>
              </w:rPr>
              <w:t xml:space="preserve">?&gt;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</w:r>
          </w:p>
        </w:tc>
      </w:tr>
    </w:tbl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</w:rPr>
        <w:br w:type="page" w:clear="all"/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  <w:t xml:space="preserve">Пример работоспособности веб-приложения: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numPr>
          <w:ilvl w:val="1"/>
          <w:numId w:val="1"/>
        </w:numPr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</w:rPr>
        <w:t xml:space="preserve">Демонстрация работы кода, если нет поддержки PHP: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982595"/>
                <wp:effectExtent l="0" t="0" r="0" b="0"/>
                <wp:wrapTopAndBottom/>
                <wp:docPr id="2" name="Изображение3" descr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3" descr="" titl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20130" cy="2982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4;o:allowoverlap:true;o:allowincell:false;mso-position-horizontal-relative:text;mso-position-horizontal:center;mso-position-vertical-relative:text;margin-top:0.05pt;mso-position-vertical:absolute;width:481.90pt;height:234.85pt;mso-wrap-distance-left:0.00pt;mso-wrap-distance-top:0.00pt;mso-wrap-distance-right:0.00pt;mso-wrap-distance-bottom:0.00pt;z-index:1;" stroked="false">
                <w10:wrap type="topAndBottom"/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numPr>
          <w:ilvl w:val="1"/>
          <w:numId w:val="1"/>
        </w:numPr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 w:val="0"/>
          <w:bCs w:val="0"/>
        </w:rPr>
        <w:t xml:space="preserve">Демонстрация работы кода, если есть поддержка PHP, но нет подключения к БД: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330825" cy="3648710"/>
                <wp:effectExtent l="0" t="0" r="0" b="0"/>
                <wp:wrapTopAndBottom/>
                <wp:docPr id="3" name="Изображение4" descr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4" descr="" titl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330825" cy="36487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5;o:allowoverlap:true;o:allowincell:false;mso-position-horizontal-relative:text;mso-position-horizontal:center;mso-position-vertical-relative:text;margin-top:0.05pt;mso-position-vertical:absolute;width:419.75pt;height:287.30pt;mso-wrap-distance-left:0.00pt;mso-wrap-distance-top:0.00pt;mso-wrap-distance-right:0.00pt;mso-wrap-distance-bottom:0.00pt;z-index:1;" stroked="false">
                <w10:wrap type="topAndBottom"/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pStyle w:val="887"/>
        <w:numPr>
          <w:ilvl w:val="1"/>
          <w:numId w:val="1"/>
        </w:numPr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Демонстрация работы кода, если есть поддержка PHP и подключение к БД:</w:t>
      </w:r>
      <w:r>
        <w:rPr>
          <w:rFonts w:ascii="Times New Roman" w:hAnsi="Times New Roman" w:eastAsia="Times New Roman" w:cs="Times New Roman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3624580"/>
                <wp:effectExtent l="0" t="0" r="0" b="0"/>
                <wp:wrapTopAndBottom/>
                <wp:docPr id="4" name="Изображение5" descr="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5" descr="" titl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20130" cy="36245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6;o:allowoverlap:true;o:allowincell:false;mso-position-horizontal-relative:text;mso-position-horizontal:center;mso-position-vertical-relative:text;margin-top:0.05pt;mso-position-vertical:absolute;width:481.90pt;height:285.40pt;mso-wrap-distance-left:0.00pt;mso-wrap-distance-top:0.00pt;mso-wrap-distance-right:0.00pt;mso-wrap-distance-bottom:0.00pt;z-index:1;" stroked="false">
                <w10:wrap type="topAndBottom"/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</w:rPr>
      </w:r>
    </w:p>
    <w:p>
      <w:pPr>
        <w:pStyle w:val="887"/>
        <w:pBdr/>
        <w:spacing w:after="0" w:before="0" w:line="360" w:lineRule="auto"/>
        <w:ind/>
        <w:contextualSpacing w:val="tru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sectPr>
      <w:footnotePr/>
      <w:endnotePr/>
      <w:type w:val="nextPage"/>
      <w:pgSz w:h="16838" w:orient="portrait" w:w="11906"/>
      <w:pgMar w:top="1134" w:right="1134" w:bottom="1134" w:left="1134" w:header="0" w:footer="0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Liberation Sans">
    <w:panose1 w:val="020B0604020202020204"/>
  </w:font>
  <w:font w:name="OpenSymbol">
    <w:panose1 w:val="05010000000000000000"/>
  </w:font>
  <w:font w:name="Times New Roman">
    <w:panose1 w:val="02020603050405020304"/>
  </w:font>
  <w:font w:name="Arial">
    <w:panose1 w:val="020B0604020202020204"/>
  </w:font>
  <w:font w:name="Noto Sans">
    <w:panose1 w:val="020B0502040504020204"/>
  </w:font>
  <w:font w:name="Liberation Serif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 w:cs="Symbol"/>
      </w:rPr>
      <w:start w:val="1"/>
      <w:suff w:val="tab"/>
    </w:lvl>
    <w:lvl w:ilvl="1">
      <w:isLgl w:val="false"/>
      <w:lvlJc w:val="left"/>
      <w:lvlText w:val="◦"/>
      <w:numFmt w:val="bullet"/>
      <w:pPr>
        <w:pBdr/>
        <w:tabs>
          <w:tab w:val="num" w:leader="none" w:pos="1080"/>
        </w:tabs>
        <w:spacing/>
        <w:ind w:hanging="360" w:left="1080"/>
      </w:pPr>
      <w:rPr>
        <w:rFonts w:hint="default" w:ascii="OpenSymbol" w:hAnsi="OpenSymbol" w:cs="OpenSymbol"/>
      </w:rPr>
      <w:start w:val="1"/>
      <w:suff w:val="tab"/>
    </w:lvl>
    <w:lvl w:ilvl="2">
      <w:isLgl w:val="false"/>
      <w:lvlJc w:val="left"/>
      <w:lvlText w:val="▪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OpenSymbol" w:hAnsi="OpenSymbol" w:cs="OpenSymbol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1800"/>
        </w:tabs>
        <w:spacing/>
        <w:ind w:hanging="360" w:left="1800"/>
      </w:pPr>
      <w:rPr>
        <w:rFonts w:hint="default" w:ascii="Symbol" w:hAnsi="Symbol" w:cs="Symbol"/>
      </w:rPr>
      <w:start w:val="1"/>
      <w:suff w:val="tab"/>
    </w:lvl>
    <w:lvl w:ilvl="4">
      <w:isLgl w:val="false"/>
      <w:lvlJc w:val="left"/>
      <w:lvlText w:val="◦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OpenSymbol" w:hAnsi="OpenSymbol" w:cs="OpenSymbol"/>
      </w:rPr>
      <w:start w:val="1"/>
      <w:suff w:val="tab"/>
    </w:lvl>
    <w:lvl w:ilvl="5">
      <w:isLgl w:val="false"/>
      <w:lvlJc w:val="left"/>
      <w:lvlText w:val="▪"/>
      <w:numFmt w:val="bullet"/>
      <w:pPr>
        <w:pBdr/>
        <w:tabs>
          <w:tab w:val="num" w:leader="none" w:pos="2520"/>
        </w:tabs>
        <w:spacing/>
        <w:ind w:hanging="360" w:left="2520"/>
      </w:pPr>
      <w:rPr>
        <w:rFonts w:hint="default" w:ascii="OpenSymbol" w:hAnsi="OpenSymbol" w:cs="OpenSymbol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Symbol" w:hAnsi="Symbol" w:cs="Symbol"/>
      </w:rPr>
      <w:start w:val="1"/>
      <w:suff w:val="tab"/>
    </w:lvl>
    <w:lvl w:ilvl="7">
      <w:isLgl w:val="false"/>
      <w:lvlJc w:val="left"/>
      <w:lvlText w:val="◦"/>
      <w:numFmt w:val="bullet"/>
      <w:pPr>
        <w:pBdr/>
        <w:tabs>
          <w:tab w:val="num" w:leader="none" w:pos="3240"/>
        </w:tabs>
        <w:spacing/>
        <w:ind w:hanging="360" w:left="3240"/>
      </w:pPr>
      <w:rPr>
        <w:rFonts w:hint="default" w:ascii="OpenSymbol" w:hAnsi="OpenSymbol" w:cs="OpenSymbol"/>
      </w:rPr>
      <w:start w:val="1"/>
      <w:suff w:val="tab"/>
    </w:lvl>
    <w:lvl w:ilvl="8">
      <w:isLgl w:val="false"/>
      <w:lvlJc w:val="left"/>
      <w:lvlText w:val="▪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OpenSymbol" w:hAnsi="OpenSymbol" w:cs="OpenSymbol"/>
      </w:rPr>
      <w:start w:val="1"/>
      <w:suff w:val="tab"/>
    </w:lvl>
  </w:abstractNum>
  <w:abstractNum w:abstractNumId="1">
    <w:lvl w:ilvl="0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autoHyphenation w:val="true"/>
  <w:hyphenationZone w:val="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Liberation Serif" w:hAnsi="Liberation Serif" w:eastAsia="Noto Sans" w:cs="Noto Sans"/>
        <w:sz w:val="24"/>
        <w:szCs w:val="24"/>
        <w:lang w:val="ru-RU" w:eastAsia="zh-CN" w:bidi="hi-IN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"/>
    <w:basedOn w:val="70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Table Grid Light"/>
    <w:basedOn w:val="70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1"/>
    <w:basedOn w:val="70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2"/>
    <w:basedOn w:val="70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Plain Table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1 Light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3feba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3feba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2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3feba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3feba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3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1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5febd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5febd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cbf04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2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3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43f03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4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5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4 - Accent 6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3feba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8fc6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8fc6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8a303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8a303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8a303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8a303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bde6fe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64c5f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64c5f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0369a3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0369a3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0369a3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0369a3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fed3ba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fc9c64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fc9c64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33e03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33e03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33e03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33e03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5bafe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e864fc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e864fc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e03a3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e03a3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e03a3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e03a3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ff1c0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ffdf71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ffdf71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5 Dark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8cecd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ee9190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ee9190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3feba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3feba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cc10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cc10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cc10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cc10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471af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471af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0471af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471af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2502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2502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2502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2502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703ad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703ad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9703ad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703ad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5b00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5b00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755b00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5b00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6 Colorful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5b00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5b00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755b00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5b00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cc10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3feba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3feba" w:themeFill="accent1" w:themeFillTint="34"/>
        <w:tcBorders/>
      </w:tcPr>
    </w:tblStylePr>
    <w:tblStylePr w:type="band2Horz">
      <w:rPr>
        <w:rFonts w:ascii="Arial" w:hAnsi="Arial"/>
        <w:color w:val="1cc10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cc10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cc10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cc10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1cc10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0471af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2Horz">
      <w:rPr>
        <w:rFonts w:ascii="Arial" w:hAnsi="Arial"/>
        <w:color w:val="0471af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471af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0471af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471af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471af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2502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2Horz">
      <w:rPr>
        <w:rFonts w:ascii="Arial" w:hAnsi="Arial"/>
        <w:color w:val="602502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2502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2502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2502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2502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9703ad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2Horz">
      <w:rPr>
        <w:rFonts w:ascii="Arial" w:hAnsi="Arial"/>
        <w:color w:val="9703ad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703ad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9703ad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703ad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703ad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755b0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2Horz">
      <w:rPr>
        <w:rFonts w:ascii="Arial" w:hAnsi="Arial"/>
        <w:color w:val="755b0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5b00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755b0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5b0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55b0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7 Colorful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751312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2Horz">
      <w:rPr>
        <w:rFonts w:ascii="Arial" w:hAnsi="Arial"/>
        <w:color w:val="751312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1312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751312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1312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51312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5fdaa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5fdaa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aadffd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aadffd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fdc9a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fdc9a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3aafd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3aafd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ffeeb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ffeeb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1 Light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6c3c2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6c3c2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5fdaa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5fdaa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aadffd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aadffd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fdc9a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fdc9a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3aafd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3aafd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ffeeb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ffeeb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2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6c3c2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6c3c2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8a303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fb7f36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ffd544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3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e9706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5fdaa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5fdaa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8a303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aadffd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aadffd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0369a3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fdc9a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fdc9a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33e03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3aafd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3aafd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e03a3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ffeeb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ffeeb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4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6c3c2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6c3c2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8a303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8a303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8a303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8a303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8a303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37b4fb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fb7f36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fb7f36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fb7f36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fb7f36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fb7f36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e133fb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ffd544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ffd544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ffd544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ffd544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ffd544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5 Dark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e9706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e9706e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e9706e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e9706e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e9706e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5fdaa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5fdaa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e5f0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e5f0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e5f0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e5f0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aadffd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aadffd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471af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471af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0471af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471af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fdc9a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fdc9a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f4303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f4303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af4303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f4303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3aafd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3aafd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703ad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703ad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9703ad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703ad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ffeeb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ffeeb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d920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d920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bd920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d920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6 Colorful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6c3c2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6c3c2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e1d1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e1d1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ae1d1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e1d1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e5f0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5fdaa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5fdaa" w:themeFill="accent1" w:themeFillTint="40"/>
        <w:tcBorders/>
      </w:tcPr>
    </w:tblStylePr>
    <w:tblStylePr w:type="band2Horz">
      <w:rPr>
        <w:rFonts w:ascii="Arial" w:hAnsi="Arial"/>
        <w:color w:val="0e5f0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e5f0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e5f0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e5f0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e5f0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e5f0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0471af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aadffd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aadffd" w:themeFill="accent2" w:themeFillTint="40"/>
        <w:tcBorders/>
      </w:tcPr>
    </w:tblStylePr>
    <w:tblStylePr w:type="band2Horz">
      <w:rPr>
        <w:rFonts w:ascii="Arial" w:hAnsi="Arial"/>
        <w:color w:val="0471af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471af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0471af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471af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471af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471af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af4303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fdc9a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fdc9aa" w:themeFill="accent3" w:themeFillTint="40"/>
        <w:tcBorders/>
      </w:tcPr>
    </w:tblStylePr>
    <w:tblStylePr w:type="band2Horz">
      <w:rPr>
        <w:rFonts w:ascii="Arial" w:hAnsi="Arial"/>
        <w:color w:val="af4303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f4303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af4303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f4303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f4303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af4303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9703ad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3aafd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3aafd" w:themeFill="accent4" w:themeFillTint="40"/>
        <w:tcBorders/>
      </w:tcPr>
    </w:tblStylePr>
    <w:tblStylePr w:type="band2Horz">
      <w:rPr>
        <w:rFonts w:ascii="Arial" w:hAnsi="Arial"/>
        <w:color w:val="9703ad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703ad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9703ad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703ad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703ad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703ad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bd920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ffeeb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ffeeb1" w:themeFill="accent5" w:themeFillTint="40"/>
        <w:tcBorders/>
      </w:tcPr>
    </w:tblStylePr>
    <w:tblStylePr w:type="band2Horz">
      <w:rPr>
        <w:rFonts w:ascii="Arial" w:hAnsi="Arial"/>
        <w:color w:val="bd920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d920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bd920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d920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d920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bd920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7 Colorful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ae1d1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6c3c2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6c3c2" w:themeFill="accent6" w:themeFillTint="40"/>
        <w:tcBorders/>
      </w:tcPr>
    </w:tblStylePr>
    <w:tblStylePr w:type="band2Horz">
      <w:rPr>
        <w:rFonts w:ascii="Arial" w:hAnsi="Arial"/>
        <w:color w:val="ae1d1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e1d1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ae1d1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e1d1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e1d1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ae1d1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1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a3fd95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a3fd95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cbf04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cbf04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cbf04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cbf04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2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3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43f03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43f03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43f03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43f03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4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5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ned - Accent 6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1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a3fd95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a3fd95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cbf04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cbf04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cbf04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cbf04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2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bde6fe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37b4fb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3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fed3ba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43f03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43f03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43f03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43f03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4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5bafe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e133fb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5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ff1c0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c99c00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&amp; Lined - Accent 6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8cecd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9211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Bordered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8">
    <w:name w:val="Heading 1"/>
    <w:basedOn w:val="887"/>
    <w:next w:val="887"/>
    <w:link w:val="83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9">
    <w:name w:val="Heading 2"/>
    <w:basedOn w:val="887"/>
    <w:next w:val="887"/>
    <w:link w:val="84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30">
    <w:name w:val="Heading 3"/>
    <w:basedOn w:val="887"/>
    <w:next w:val="887"/>
    <w:link w:val="84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31">
    <w:name w:val="Heading 4"/>
    <w:basedOn w:val="887"/>
    <w:next w:val="887"/>
    <w:link w:val="84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2">
    <w:name w:val="Heading 5"/>
    <w:basedOn w:val="887"/>
    <w:next w:val="887"/>
    <w:link w:val="84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3">
    <w:name w:val="Heading 6"/>
    <w:basedOn w:val="887"/>
    <w:next w:val="887"/>
    <w:link w:val="84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4">
    <w:name w:val="Heading 7"/>
    <w:basedOn w:val="887"/>
    <w:next w:val="887"/>
    <w:link w:val="84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5">
    <w:name w:val="Heading 8"/>
    <w:basedOn w:val="887"/>
    <w:next w:val="887"/>
    <w:link w:val="84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6">
    <w:name w:val="Heading 9"/>
    <w:basedOn w:val="887"/>
    <w:next w:val="887"/>
    <w:link w:val="84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7" w:default="1">
    <w:name w:val="Default Paragraph Font"/>
    <w:uiPriority w:val="1"/>
    <w:semiHidden/>
    <w:unhideWhenUsed/>
    <w:pPr>
      <w:pBdr/>
      <w:spacing/>
      <w:ind/>
    </w:pPr>
  </w:style>
  <w:style w:type="numbering" w:styleId="838" w:default="1">
    <w:name w:val="No List"/>
    <w:uiPriority w:val="99"/>
    <w:semiHidden/>
    <w:unhideWhenUsed/>
    <w:pPr>
      <w:pBdr/>
      <w:spacing/>
      <w:ind/>
    </w:pPr>
  </w:style>
  <w:style w:type="character" w:styleId="839">
    <w:name w:val="Heading 1 Char"/>
    <w:basedOn w:val="837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40">
    <w:name w:val="Heading 2 Char"/>
    <w:basedOn w:val="837"/>
    <w:link w:val="8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41">
    <w:name w:val="Heading 3 Char"/>
    <w:basedOn w:val="837"/>
    <w:link w:val="83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42">
    <w:name w:val="Heading 4 Char"/>
    <w:basedOn w:val="837"/>
    <w:link w:val="83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3">
    <w:name w:val="Heading 5 Char"/>
    <w:basedOn w:val="837"/>
    <w:link w:val="83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4">
    <w:name w:val="Heading 6 Char"/>
    <w:basedOn w:val="837"/>
    <w:link w:val="83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5">
    <w:name w:val="Heading 7 Char"/>
    <w:basedOn w:val="837"/>
    <w:link w:val="83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6">
    <w:name w:val="Heading 8 Char"/>
    <w:basedOn w:val="837"/>
    <w:link w:val="83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7">
    <w:name w:val="Heading 9 Char"/>
    <w:basedOn w:val="837"/>
    <w:link w:val="83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8">
    <w:name w:val="Title"/>
    <w:basedOn w:val="887"/>
    <w:next w:val="887"/>
    <w:link w:val="84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9">
    <w:name w:val="Title Char"/>
    <w:basedOn w:val="837"/>
    <w:link w:val="84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50">
    <w:name w:val="Subtitle"/>
    <w:basedOn w:val="887"/>
    <w:next w:val="887"/>
    <w:link w:val="85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51">
    <w:name w:val="Subtitle Char"/>
    <w:basedOn w:val="837"/>
    <w:link w:val="85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52">
    <w:name w:val="Quote"/>
    <w:basedOn w:val="887"/>
    <w:next w:val="887"/>
    <w:link w:val="85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53">
    <w:name w:val="Quote Char"/>
    <w:basedOn w:val="837"/>
    <w:link w:val="85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54">
    <w:name w:val="List Paragraph"/>
    <w:basedOn w:val="887"/>
    <w:uiPriority w:val="34"/>
    <w:qFormat/>
    <w:pPr>
      <w:pBdr/>
      <w:spacing/>
      <w:ind w:left="720"/>
      <w:contextualSpacing w:val="true"/>
    </w:pPr>
  </w:style>
  <w:style w:type="character" w:styleId="855">
    <w:name w:val="Intense Emphasis"/>
    <w:basedOn w:val="837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6">
    <w:name w:val="Intense Quote"/>
    <w:basedOn w:val="887"/>
    <w:next w:val="887"/>
    <w:link w:val="85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7">
    <w:name w:val="Intense Quote Char"/>
    <w:basedOn w:val="837"/>
    <w:link w:val="85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8">
    <w:name w:val="Intense Reference"/>
    <w:basedOn w:val="837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59">
    <w:name w:val="No Spacing"/>
    <w:basedOn w:val="887"/>
    <w:uiPriority w:val="1"/>
    <w:qFormat/>
    <w:pPr>
      <w:pBdr/>
      <w:spacing w:after="0" w:line="240" w:lineRule="auto"/>
      <w:ind/>
    </w:pPr>
  </w:style>
  <w:style w:type="character" w:styleId="860">
    <w:name w:val="Subtle Emphasis"/>
    <w:basedOn w:val="837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61">
    <w:name w:val="Emphasis"/>
    <w:basedOn w:val="837"/>
    <w:uiPriority w:val="20"/>
    <w:qFormat/>
    <w:pPr>
      <w:pBdr/>
      <w:spacing/>
      <w:ind/>
    </w:pPr>
    <w:rPr>
      <w:i/>
      <w:iCs/>
    </w:rPr>
  </w:style>
  <w:style w:type="character" w:styleId="862">
    <w:name w:val="Strong"/>
    <w:basedOn w:val="837"/>
    <w:uiPriority w:val="22"/>
    <w:qFormat/>
    <w:pPr>
      <w:pBdr/>
      <w:spacing/>
      <w:ind/>
    </w:pPr>
    <w:rPr>
      <w:b/>
      <w:bCs/>
    </w:rPr>
  </w:style>
  <w:style w:type="character" w:styleId="863">
    <w:name w:val="Subtle Reference"/>
    <w:basedOn w:val="837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4">
    <w:name w:val="Book Title"/>
    <w:basedOn w:val="837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5">
    <w:name w:val="Header"/>
    <w:basedOn w:val="887"/>
    <w:link w:val="86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6">
    <w:name w:val="Header Char"/>
    <w:basedOn w:val="837"/>
    <w:link w:val="865"/>
    <w:uiPriority w:val="99"/>
    <w:pPr>
      <w:pBdr/>
      <w:spacing/>
      <w:ind/>
    </w:pPr>
  </w:style>
  <w:style w:type="paragraph" w:styleId="867">
    <w:name w:val="Footer"/>
    <w:basedOn w:val="887"/>
    <w:link w:val="86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8">
    <w:name w:val="Footer Char"/>
    <w:basedOn w:val="837"/>
    <w:link w:val="867"/>
    <w:uiPriority w:val="99"/>
    <w:pPr>
      <w:pBdr/>
      <w:spacing/>
      <w:ind/>
    </w:pPr>
  </w:style>
  <w:style w:type="paragraph" w:styleId="869">
    <w:name w:val="footnote text"/>
    <w:basedOn w:val="887"/>
    <w:link w:val="87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0">
    <w:name w:val="Footnote Text Char"/>
    <w:basedOn w:val="837"/>
    <w:link w:val="869"/>
    <w:uiPriority w:val="99"/>
    <w:semiHidden/>
    <w:pPr>
      <w:pBdr/>
      <w:spacing/>
      <w:ind/>
    </w:pPr>
    <w:rPr>
      <w:sz w:val="20"/>
      <w:szCs w:val="20"/>
    </w:rPr>
  </w:style>
  <w:style w:type="character" w:styleId="871">
    <w:name w:val="footnote reference"/>
    <w:basedOn w:val="837"/>
    <w:uiPriority w:val="99"/>
    <w:semiHidden/>
    <w:unhideWhenUsed/>
    <w:pPr>
      <w:pBdr/>
      <w:spacing/>
      <w:ind/>
    </w:pPr>
    <w:rPr>
      <w:vertAlign w:val="superscript"/>
    </w:rPr>
  </w:style>
  <w:style w:type="paragraph" w:styleId="872">
    <w:name w:val="endnote text"/>
    <w:basedOn w:val="887"/>
    <w:link w:val="87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3">
    <w:name w:val="Endnote Text Char"/>
    <w:basedOn w:val="837"/>
    <w:link w:val="872"/>
    <w:uiPriority w:val="99"/>
    <w:semiHidden/>
    <w:pPr>
      <w:pBdr/>
      <w:spacing/>
      <w:ind/>
    </w:pPr>
    <w:rPr>
      <w:sz w:val="20"/>
      <w:szCs w:val="20"/>
    </w:rPr>
  </w:style>
  <w:style w:type="character" w:styleId="874">
    <w:name w:val="endnote reference"/>
    <w:basedOn w:val="837"/>
    <w:uiPriority w:val="99"/>
    <w:semiHidden/>
    <w:unhideWhenUsed/>
    <w:pPr>
      <w:pBdr/>
      <w:spacing/>
      <w:ind/>
    </w:pPr>
    <w:rPr>
      <w:vertAlign w:val="superscript"/>
    </w:rPr>
  </w:style>
  <w:style w:type="character" w:styleId="875">
    <w:name w:val="FollowedHyperlink"/>
    <w:basedOn w:val="83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6">
    <w:name w:val="toc 1"/>
    <w:basedOn w:val="887"/>
    <w:next w:val="887"/>
    <w:uiPriority w:val="39"/>
    <w:unhideWhenUsed/>
    <w:pPr>
      <w:pBdr/>
      <w:spacing w:after="100"/>
      <w:ind/>
    </w:pPr>
  </w:style>
  <w:style w:type="paragraph" w:styleId="877">
    <w:name w:val="toc 2"/>
    <w:basedOn w:val="887"/>
    <w:next w:val="887"/>
    <w:uiPriority w:val="39"/>
    <w:unhideWhenUsed/>
    <w:pPr>
      <w:pBdr/>
      <w:spacing w:after="100"/>
      <w:ind w:left="220"/>
    </w:pPr>
  </w:style>
  <w:style w:type="paragraph" w:styleId="878">
    <w:name w:val="toc 3"/>
    <w:basedOn w:val="887"/>
    <w:next w:val="887"/>
    <w:uiPriority w:val="39"/>
    <w:unhideWhenUsed/>
    <w:pPr>
      <w:pBdr/>
      <w:spacing w:after="100"/>
      <w:ind w:left="440"/>
    </w:pPr>
  </w:style>
  <w:style w:type="paragraph" w:styleId="879">
    <w:name w:val="toc 4"/>
    <w:basedOn w:val="887"/>
    <w:next w:val="887"/>
    <w:uiPriority w:val="39"/>
    <w:unhideWhenUsed/>
    <w:pPr>
      <w:pBdr/>
      <w:spacing w:after="100"/>
      <w:ind w:left="660"/>
    </w:pPr>
  </w:style>
  <w:style w:type="paragraph" w:styleId="880">
    <w:name w:val="toc 5"/>
    <w:basedOn w:val="887"/>
    <w:next w:val="887"/>
    <w:uiPriority w:val="39"/>
    <w:unhideWhenUsed/>
    <w:pPr>
      <w:pBdr/>
      <w:spacing w:after="100"/>
      <w:ind w:left="880"/>
    </w:pPr>
  </w:style>
  <w:style w:type="paragraph" w:styleId="881">
    <w:name w:val="toc 6"/>
    <w:basedOn w:val="887"/>
    <w:next w:val="887"/>
    <w:uiPriority w:val="39"/>
    <w:unhideWhenUsed/>
    <w:pPr>
      <w:pBdr/>
      <w:spacing w:after="100"/>
      <w:ind w:left="1100"/>
    </w:pPr>
  </w:style>
  <w:style w:type="paragraph" w:styleId="882">
    <w:name w:val="toc 7"/>
    <w:basedOn w:val="887"/>
    <w:next w:val="887"/>
    <w:uiPriority w:val="39"/>
    <w:unhideWhenUsed/>
    <w:pPr>
      <w:pBdr/>
      <w:spacing w:after="100"/>
      <w:ind w:left="1320"/>
    </w:pPr>
  </w:style>
  <w:style w:type="paragraph" w:styleId="883">
    <w:name w:val="toc 8"/>
    <w:basedOn w:val="887"/>
    <w:next w:val="887"/>
    <w:uiPriority w:val="39"/>
    <w:unhideWhenUsed/>
    <w:pPr>
      <w:pBdr/>
      <w:spacing w:after="100"/>
      <w:ind w:left="1540"/>
    </w:pPr>
  </w:style>
  <w:style w:type="paragraph" w:styleId="884">
    <w:name w:val="toc 9"/>
    <w:basedOn w:val="887"/>
    <w:next w:val="887"/>
    <w:uiPriority w:val="39"/>
    <w:unhideWhenUsed/>
    <w:pPr>
      <w:pBdr/>
      <w:spacing w:after="100"/>
      <w:ind w:left="1760"/>
    </w:pPr>
  </w:style>
  <w:style w:type="paragraph" w:styleId="885">
    <w:name w:val="TOC Heading"/>
    <w:uiPriority w:val="39"/>
    <w:unhideWhenUsed/>
    <w:pPr>
      <w:pBdr/>
      <w:spacing/>
      <w:ind/>
    </w:pPr>
  </w:style>
  <w:style w:type="paragraph" w:styleId="886">
    <w:name w:val="table of figures"/>
    <w:basedOn w:val="887"/>
    <w:next w:val="887"/>
    <w:uiPriority w:val="99"/>
    <w:unhideWhenUsed/>
    <w:pPr>
      <w:pBdr/>
      <w:spacing w:after="0" w:afterAutospacing="0"/>
      <w:ind/>
    </w:pPr>
  </w:style>
  <w:style w:type="paragraph" w:styleId="887" w:default="1">
    <w:name w:val="Normal"/>
    <w:qFormat/>
    <w:pPr>
      <w:widowControl w:val="true"/>
      <w:pBdr/>
      <w:bidi w:val="false"/>
      <w:spacing w:after="0" w:before="0" w:line="360" w:lineRule="auto"/>
      <w:ind w:firstLine="709"/>
      <w:jc w:val="both"/>
    </w:pPr>
    <w:rPr>
      <w:rFonts w:ascii="Times New Roman" w:hAnsi="Times New Roman" w:eastAsia="Noto Sans" w:cs="Noto Sans"/>
      <w:color w:val="auto"/>
      <w:sz w:val="28"/>
      <w:szCs w:val="24"/>
      <w:lang w:val="ru-RU" w:eastAsia="zh-CN" w:bidi="hi-IN"/>
    </w:rPr>
  </w:style>
  <w:style w:type="character" w:styleId="888">
    <w:name w:val="Символ нумерации"/>
    <w:qFormat/>
    <w:pPr>
      <w:pBdr/>
      <w:spacing/>
      <w:ind/>
    </w:pPr>
  </w:style>
  <w:style w:type="character" w:styleId="889">
    <w:name w:val="Маркеры"/>
    <w:qFormat/>
    <w:pPr>
      <w:pBdr/>
      <w:spacing/>
      <w:ind/>
    </w:pPr>
    <w:rPr>
      <w:rFonts w:ascii="OpenSymbol" w:hAnsi="OpenSymbol" w:eastAsia="OpenSymbol" w:cs="OpenSymbol"/>
    </w:rPr>
  </w:style>
  <w:style w:type="character" w:styleId="890">
    <w:name w:val="Hyperlink"/>
    <w:pPr>
      <w:pBdr/>
      <w:spacing/>
      <w:ind/>
    </w:pPr>
    <w:rPr>
      <w:color w:val="000080"/>
      <w:u w:val="single"/>
    </w:rPr>
  </w:style>
  <w:style w:type="paragraph" w:styleId="891">
    <w:name w:val="Заголовок"/>
    <w:basedOn w:val="887"/>
    <w:next w:val="892"/>
    <w:qFormat/>
    <w:pPr>
      <w:keepNext w:val="true"/>
      <w:pBdr/>
      <w:spacing w:after="120" w:before="240"/>
      <w:ind/>
    </w:pPr>
    <w:rPr>
      <w:rFonts w:ascii="Liberation Sans" w:hAnsi="Liberation Sans" w:eastAsia="Noto Sans" w:cs="Noto Sans"/>
      <w:sz w:val="28"/>
      <w:szCs w:val="28"/>
    </w:rPr>
  </w:style>
  <w:style w:type="paragraph" w:styleId="892">
    <w:name w:val="Body Text"/>
    <w:basedOn w:val="887"/>
    <w:pPr>
      <w:pBdr/>
      <w:spacing w:after="140" w:before="0" w:line="276" w:lineRule="auto"/>
      <w:ind/>
    </w:pPr>
  </w:style>
  <w:style w:type="paragraph" w:styleId="893">
    <w:name w:val="List"/>
    <w:basedOn w:val="892"/>
    <w:pPr>
      <w:pBdr/>
      <w:spacing/>
      <w:ind/>
    </w:pPr>
  </w:style>
  <w:style w:type="paragraph" w:styleId="894">
    <w:name w:val="Caption"/>
    <w:basedOn w:val="887"/>
    <w:qFormat/>
    <w:pPr>
      <w:suppressLineNumbers w:val="true"/>
      <w:pBdr/>
      <w:spacing w:after="120" w:before="120"/>
      <w:ind/>
    </w:pPr>
    <w:rPr>
      <w:i/>
      <w:iCs/>
      <w:sz w:val="24"/>
      <w:szCs w:val="24"/>
    </w:rPr>
  </w:style>
  <w:style w:type="paragraph" w:styleId="895">
    <w:name w:val="Указатель"/>
    <w:basedOn w:val="887"/>
    <w:qFormat/>
    <w:pPr>
      <w:suppressLineNumbers w:val="true"/>
      <w:pBdr/>
      <w:spacing/>
      <w:ind/>
    </w:pPr>
  </w:style>
  <w:style w:type="paragraph" w:styleId="896">
    <w:name w:val="Содержимое таблицы"/>
    <w:basedOn w:val="887"/>
    <w:qFormat/>
    <w:pPr>
      <w:widowControl w:val="false"/>
      <w:suppressLineNumbers w:val="true"/>
      <w:pBdr/>
      <w:spacing/>
      <w:ind/>
    </w:pPr>
  </w:style>
  <w:style w:type="paragraph" w:styleId="897">
    <w:name w:val="Normal (Web)"/>
    <w:basedOn w:val="887"/>
    <w:qFormat/>
    <w:pPr>
      <w:pBdr/>
      <w:spacing w:afterAutospacing="1" w:beforeAutospacing="1" w:line="240" w:lineRule="auto"/>
      <w:ind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 name=""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Application>ONLYOFFICE/8.2.2.22</Application>
  <HeadingPairs>
    <vt:vector size="0" baseType="variant"/>
  </HeadingPairs>
  <TitlesOfParts>
    <vt:vector size="0" baseType="lpstr"/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dc:language>ru-RU</dc:language>
  <cp:revision>159</cp:revision>
  <dcterms:created xsi:type="dcterms:W3CDTF">2025-03-18T16:36:26Z</dcterms:created>
  <dcterms:modified xsi:type="dcterms:W3CDTF">2025-04-11T07:40:54Z</dcterms:modified>
</cp:coreProperties>
</file>